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Педиатрия (ординатура, ПП)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Педиатрия (ординатура, ПП) | Записей: 1 | Кейс: 2 | Вопросов: 12</w:t>
      </w:r>
    </w:p>
    <w:p>
      <w:r>
        <w:br w:type="page"/>
      </w:r>
    </w:p>
    <w:p>
      <w:pPr>
        <w:pStyle w:val="Heading1"/>
      </w:pPr>
      <w:r>
        <w:t>Педиатрия (ординатура, ПП)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Педиатрия (ординатура, 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приеме у участкового педиатра школьник 17 лет с мамой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•</w:t>
        <w:tab/>
        <w:t>диарея до 4-х раз в сутки,  стул без примеси крови и слизи</w:t>
        <w:br/>
        <w:t>•</w:t>
        <w:tab/>
        <w:t>постоянные, неинтенсивные боли в правой подвздошной области</w:t>
        <w:br/>
        <w:t>•</w:t>
        <w:tab/>
        <w:t>субфебрилетет (37,3 -37,5ºС)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6 месяцев, когда впервые почувствовал резкие боли в подвздошной области и был экстренно госпитализирован в хирургическое отделение с диагнозом «острый живот». Диагноз был исключен. Боли купированы спазмолитиками, пациенту был выписан под амбулаторное наблюдение с диагнозом «кишечная колика». Через неделю после выписки из стационара боли появились вновь, неинтенсивные, локализованные в правой подвздошной области, затем присоединилась диарея до четырех раз в сутки, мальчик стал терять вес. На протяжении 5 месяцев лечился в частной клинике с диагнозом «синдром раздраженного кишечника». Получал курсы пробиотиков, спазмолитиков, ноотропы без заметного эффекта. Обратился в поликлинику по месту жительства в связи с неэффективностью лечения через 6 месяцев от начала заболевания.</w:t>
      </w:r>
    </w:p>
    <w:p>
      <w:pPr>
        <w:pStyle w:val="Heading3"/>
      </w:pPr>
      <w:r>
        <w:t>1.4.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174 см, вес 54 кг, индекс массы тела 17,8 кг/м2. Кожные покровы бледные, чистые, умеренной влажности и эластичности. Подкожно-жировой слой выражен недостаточно, распределен равномерно. Кожа чистая, обычной влажности. Периферических отеков нет. Периферические лимфоузлы не пальпируются. Носовое дыхание свободное. В легких дыхание везикулярное, проводится во все отделы, хрипов нет. ЧДД 20 в мин. Границы сердечной тупости не расширены. Тоны сердца ясные, звонкие, ритмичные. ЧСС 85 в мин. АД 100/60 мм рт. ст. Язык обложен белым налетом у корня. Живот правильной формы, мягкий,  болезненный при пальпации в правой подвздошной области. Печень не увеличена, селезенка не пальпируется. Симптом поколачивания отрицательный. Со слов ребенка стул был сегодня трижды, неоформленный коричневого цвета. Мочеиспускание свободное, безболезненное.</w:t>
      </w:r>
    </w:p>
    <w:p>
      <w:pPr>
        <w:spacing w:after="58"/>
      </w:pPr>
      <w:r>
        <w:rPr>
          <w:b w:val="0"/>
          <w:i w:val="0"/>
        </w:rPr>
        <w:t>По результатам осмотра участковым педиатром было предложено обследование в  условиях стационара, от которого пациент категорически отказался, мотивируя тем, что не может пропускать занятия в 11 классе в связи с подготовкой к ЕГЭ.</w:t>
      </w:r>
    </w:p>
    <w:p>
      <w:pPr>
        <w:pStyle w:val="Heading3"/>
      </w:pPr>
      <w:r>
        <w:t>1.5. Анамнез жизни</w:t>
      </w:r>
    </w:p>
    <w:p>
      <w:pPr>
        <w:spacing w:after="58"/>
      </w:pPr>
      <w:r>
        <w:rPr>
          <w:b w:val="0"/>
          <w:i w:val="0"/>
        </w:rPr>
        <w:t>* Ребенок от I физиологически протекавшей беременности. Роды I срочные, физиологичные. Масса тела при рождении 3000 г, длина 50 см. Рос и развивался соответственно возрасту.</w:t>
        <w:br/>
        <w:t>*  На грудном вскармливании до 3 мес, далее искусственное, прикормы введены в 5 мес. (гречневая каша и кабачок). С 1 года питается с общего стола. Диеты и режима питания не придерживается.</w:t>
        <w:br/>
        <w:t>* Прививки выполнены по возрасту в соответствии с Национальным календарем.</w:t>
        <w:br/>
        <w:t>* Перенесенные заболевания и операции: ветряная оспа в возрасте 5 лет, аденотомия в возрасте 7 лет.</w:t>
        <w:br/>
        <w:t>* Узкими специалистами не наблюдается</w:t>
        <w:br/>
        <w:t>* Аллергологический анамнез не отягощен.</w:t>
        <w:br/>
        <w:t>* Наследственность отягощена: дядя по линии отца умер в 54 года от кишечной непроходимости (диагноз мама ребенка назвать затрудняется), мама больна псориазом.</w:t>
        <w:br/>
        <w:t>* Учится в 11 классе, готовится к поступлению в институт.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постановки диагноза необходимыми лабораторными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исследование уровня С-реактивного белка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анализ крови на стерильность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фекальный кальпротектин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анализ кала на углеводы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микроскопическое исследование кала на простейшие и гельминты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исследование уровня С-реактивного белка; клинический анализ крови; фекальный кальпротектин; микроскопическое исследование кала на простейшие и гельминты</w:t>
      </w:r>
    </w:p>
    <w:p>
      <w:pPr>
        <w:ind w:left="504"/>
      </w:pPr>
      <w:r>
        <w:rPr>
          <w:b w:val="0"/>
          <w:i/>
        </w:rPr>
        <w:t>Рекомендовано всем пациентам при подозрении на БК и далее – при динамическом наблюдении исследовать С-реактивный белок – для оценки воспалительной реакции.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Рекомендовано всем пациентам при подозрении на БК и далее – при динамическом наблюдении исследовать Общий (клинический) анализ крови развернутый (оценка гематокрита, Исследование уровня эритроцитов в крови, Исследование уровня тромбоцитов в крови, Исследование уровня лейкоцитов в крови, Дифференцированный подсчет лейкоцитов (лейкоцитарная формула), Просмотр мазка крови для анализа аномалий морфологии эритроцитов, тромбоцитов и лейкоцитов, Определение размеров эритроцитов, скорость оседания эритроцитов (СОЭ)) с целью выявления анемии и признаков воспалительной реакции.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подозрении на БК рекомендовано провести исследование уровня кальпротектина в кале (определение кальпротектина в кале) как показателя активности воспаления в кишечнике.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Рекомендовано детям с подозрением на БК при первичной диагностике с целью исключения/подтверждения паразитарных инвазий провести микроскопическое исследование кала на гельминты с применением методов обогащения.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Клинический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Показатели крови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Референсные знаения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Эритроциты, 1012/л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3,7-4,7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Гемоглобин,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130-160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115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Цветовой показатель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0,82-1,05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1,01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Ретикулоциты,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2,0-12,0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СОЭ, мм/ч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2,0-10,0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Тромбоциты, 109/л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180-320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185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Лейкоциты, 109/л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4,0-8,8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 палочкоядерные,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1-6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 сегментоядерные,%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45,0-70,0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0-5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-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0-1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-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18,0-40,0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2-9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</w:t>
            </w:r>
          </w:p>
        </w:tc>
      </w:tr>
    </w:tbl>
    <w:p/>
    <w:p>
      <w:pPr>
        <w:pStyle w:val="Heading3"/>
      </w:pPr>
      <w:r>
        <w:t>3.2. Исследование уровня С-реактивного белка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Результат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С-реактивный белок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&lt; 5 мг/л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5 мг/л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3408"/>
          </w:tcPr>
          <w:p/>
        </w:tc>
      </w:tr>
    </w:tbl>
    <w:p/>
    <w:p>
      <w:pPr>
        <w:pStyle w:val="Heading3"/>
      </w:pPr>
      <w:r>
        <w:t>3.3. Микроскопическое исследование кала на простейшие и гельминты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Анализ кала на яйца и личинки гельминтов, простейшие и их цисты (Parasep)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 обнаружены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 обнаружены</w:t>
            </w:r>
          </w:p>
        </w:tc>
      </w:tr>
    </w:tbl>
    <w:p/>
    <w:p>
      <w:pPr>
        <w:pStyle w:val="Heading3"/>
      </w:pPr>
      <w:r>
        <w:t>3.4. Фекальный кальпротектин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фекальный кальпротектин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10-1800 мкг/г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2262 мкг/г</w:t>
            </w:r>
          </w:p>
        </w:tc>
      </w:tr>
    </w:tbl>
    <w:p/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диагноза необходимыми инструментальными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рентгенография  тонкого кишечника с пассажем бариевой взвеси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эзофагогастродуоденоскопия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цифровая флюорография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рентгеноскопия желудка и двенадцатиперстной кишки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рН-метрия желудка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тотальная колоноскопия с илеоскопией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рентгенография  тонкого кишечника с пассажем бариевой взвеси; эзофагогастродуоденоскопия; тотальная колоноскопия с илеоскопией</w:t>
      </w:r>
    </w:p>
    <w:p>
      <w:pPr>
        <w:ind w:left="504"/>
      </w:pPr>
      <w:r>
        <w:rPr>
          <w:b w:val="0"/>
          <w:i/>
        </w:rPr>
        <w:t>При БК перед проведением видеокапсульной эндоскопии следует выполнить рентгенологические исследованиия (пассаж бария по кишечнику).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детям с подозрением на БК рекомендовано проводить: колоноскопию с илеоскопией (Колоноскопия, Видеоколоноскопия, Интестиноскопия); эзофагогастродуоденоскопию; ступенчатую биопсию слизистой оболочки всех осмотренных отделов.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Всем детям с подозрением на БК рекомендовано проводить: колоноскопию с илеоскопией (Колоноскопия, Видеоколоноскопия, Интестиноскопия); эзофагогастродуоденоскопию; ступенчатую биопсию слизистой оболочки всех осмотренных отделов.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5. Результаты инструментальных методов обследования</w:t>
      </w:r>
    </w:p>
    <w:p>
      <w:pPr>
        <w:pStyle w:val="Heading3"/>
      </w:pPr>
      <w:r>
        <w:t>5.1. Рентгенография  тонкого кишечника с пассажем бариевой взвеси</w:t>
      </w:r>
    </w:p>
    <w:p>
      <w:pPr>
        <w:spacing w:after="58"/>
      </w:pPr>
      <w:r>
        <w:rPr>
          <w:b w:val="0"/>
          <w:i w:val="0"/>
        </w:rPr>
        <w:t>В протоколе  рентгенологического исследования тонкой кишки с пассажем бариевой взвеси отмечено: В терминальном отделе подвздошной кишки отмечается сегментарное стенозирование слизистой оболочки по типу «булыжной мостовой» без признаков кишечной непроходимости. Гаустрация толстого кишечника отчетлива, с равномерным заполнением барием на всем протяжении.</w:t>
      </w:r>
    </w:p>
    <w:p>
      <w:r>
        <w:drawing>
          <wp:inline xmlns:a="http://schemas.openxmlformats.org/drawingml/2006/main" xmlns:pic="http://schemas.openxmlformats.org/drawingml/2006/picture">
            <wp:extent cx="5303520" cy="403883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2bde9e658b330a71f0bdfb313bead7cd656502a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03883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рентгенография.jpg</w:t>
      </w:r>
    </w:p>
    <w:p>
      <w:pPr>
        <w:spacing w:after="58"/>
      </w:pPr>
      <w:r>
        <w:rPr>
          <w:b w:val="0"/>
          <w:i w:val="0"/>
        </w:rPr>
        <w:t>Заключение: Стеноз подвздошной кишки (болезнь Крона?). Рекомендована колоноскопия.</w:t>
      </w:r>
    </w:p>
    <w:p>
      <w:pPr>
        <w:pStyle w:val="Heading3"/>
      </w:pPr>
      <w:r>
        <w:t>5.2. Тотальная колоноскопия с илеоскопией</w:t>
      </w:r>
    </w:p>
    <w:p>
      <w:pPr>
        <w:spacing w:after="58"/>
      </w:pPr>
      <w:r>
        <w:rPr>
          <w:b w:val="0"/>
          <w:i w:val="0"/>
        </w:rPr>
        <w:t>Слизистая оболочка на всем протяжении толстого кишечника не изменена, за Баугиневой заслонкой отмечается небольшое стенозирование терминального отдела подвздошной кишки, слизистая оболочка гиперемирована, напоминает «булыжную мостовую», контактно незначительно кровоточива.</w:t>
      </w:r>
    </w:p>
    <w:p>
      <w:pPr>
        <w:spacing w:after="58"/>
      </w:pPr>
      <w:r>
        <w:rPr>
          <w:b w:val="0"/>
          <w:i w:val="0"/>
        </w:rPr>
        <w:t>При проведении исследования была взята ступенчатая биопсия слизистой оболочки: 2 образца из подвздошной кишки, и 5 образцов из различных отделов толстой кишки, включая прямую. При проведении морфологического исследования в биоптатах, полученных из подвздошной кишки выявлено: утолщение слизистой, трансмуральное воспаление, микрогранулемы, число бокаловидных клеток и поверхностный эпителий в норме, крипт абцессов не выявлено. В инфильтрате преобладают лимфоциты, в несколько меньшем количестве определяются плазматические клетки, эозинофилы и сегментоядерные лейкоциты единичны. В остальных образцах морфологических изменений не выявлено.</w:t>
      </w:r>
    </w:p>
    <w:p>
      <w:r>
        <w:drawing>
          <wp:inline xmlns:a="http://schemas.openxmlformats.org/drawingml/2006/main" xmlns:pic="http://schemas.openxmlformats.org/drawingml/2006/picture">
            <wp:extent cx="5303520" cy="423009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819ce1a711d99a18db7c6564462a920f9d37276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23009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колоноскопия.png</w:t>
      </w:r>
    </w:p>
    <w:p>
      <w:pPr>
        <w:spacing w:after="58"/>
      </w:pPr>
      <w:r>
        <w:rPr>
          <w:b w:val="0"/>
          <w:i w:val="0"/>
        </w:rPr>
        <w:t>*Заключение*: Терминальный илеит с морфологическими признаками (Болезни Крона)</w:t>
      </w:r>
    </w:p>
    <w:p>
      <w:pPr>
        <w:pStyle w:val="Heading3"/>
      </w:pPr>
      <w:r>
        <w:t>5.3. Эзофагогастродуоденоскопия</w:t>
      </w:r>
    </w:p>
    <w:p>
      <w:pPr>
        <w:spacing w:after="58"/>
      </w:pPr>
      <w:r>
        <w:rPr>
          <w:b w:val="0"/>
          <w:i w:val="0"/>
        </w:rPr>
        <w:t>В протоколе ЭГДС отмечено: пищевод свободно проходим. Слизистая его не изменена, кардия смыкается плотно. В просвете желудка небольшое количество светлой жидкости, перистальтика активная, слизистая оболочка во всех отделах розовая, блестящая, Луковица  ДПК не изменена.</w:t>
      </w:r>
    </w:p>
    <w:p>
      <w:r>
        <w:drawing>
          <wp:inline xmlns:a="http://schemas.openxmlformats.org/drawingml/2006/main" xmlns:pic="http://schemas.openxmlformats.org/drawingml/2006/picture">
            <wp:extent cx="5303520" cy="4561027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1a7ce665638b8c758286c84b0ae1ef2a396a527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56102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эзофагогастродуоденоскопия.jpg</w:t>
      </w:r>
    </w:p>
    <w:p>
      <w:pPr>
        <w:spacing w:after="58"/>
      </w:pPr>
      <w:r>
        <w:rPr>
          <w:b w:val="0"/>
          <w:i w:val="0"/>
        </w:rPr>
        <w:t>Заключение: Патологии не выявлено.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клинического течения заболевания и результатов проведенных исследований диагнозом основного заболевания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Туберкулез кишечника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Болезнь Крона, терминальный илеит, первичная атака, острое течение, легкая форма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Глютеновая энтеропатия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Язвенный колит с поражением толстого кишечника, первичная атака, рецидивирующее тяжелое течение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Болезнь Крона, терминальный илеит, первичная атака, острое течение, легкая форма</w:t>
      </w:r>
    </w:p>
    <w:p>
      <w:pPr>
        <w:ind w:left="504"/>
      </w:pPr>
      <w:r>
        <w:rPr>
          <w:b w:val="0"/>
          <w:i/>
        </w:rPr>
        <w:t>Однозначных диагностических критериев БК не существует, диагноз устанавливается на основании сочетания данных анамнеза, клинической картины и типичных эндоскопических и патолого-анатомических (гистологических) изменений. Для классификации БК по локализации поражения и фенотипическим вариантам течения рекомендуется использовать, применительно к детям, международную классификацию болезни Крона, принятую в 2010 г. в Париже. По характеру течения выделяют:</w:t>
        <w:br/>
        <w:br/>
        <w:t>1. Острое течение (менее 6 месяцев от дебюта заболевания);</w:t>
        <w:br/>
        <w:t>2. Хроническое непрерывное течение (отсутствие более чем 6-месячных периодов ремиссии на фоне адекватной терапии);</w:t>
        <w:br/>
        <w:t>3. Хроническое рецидивирующее течение (наличие более чем 6-месячных периодов ремиссии).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Болезнь Крона, терминальный илеит, первичная атака, острое течение, легкая форма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выявлении признаков анемии в клиническом анализе крови, для подтверждения ее генеза, в биохимическом  анализе крови рекомендуется оценить  уровень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общего кальция, железосвязывающей способности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лактатдегидрогеназы, щелочной фосфатазы, ферритина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АЛТ, АСТ, трансферина, общего железа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сывороточного железа, трансферрина, ферритина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сывороточного железа, трансферрина, ферритина</w:t>
      </w:r>
    </w:p>
    <w:p>
      <w:pPr>
        <w:ind w:left="504"/>
      </w:pPr>
      <w:r>
        <w:rPr>
          <w:b w:val="0"/>
          <w:i/>
        </w:rPr>
        <w:t>В общем анализе крови может быть диагностированы анемия (железодефицитная, анемии хронического заболевания, редко В-12- или фолат-дефицитная). Всем детям с подозрением на БК рекомендовано проведение анализа крови биохимического общетерапевтического (общий белок, протеинограмма, печеночные ферменты (определение активности аланинаминторансферазы (АЛТ), аспартатаминотрансферазы (АСТ), гамма-глютамилтрансферазы (ГГТ), щелочной фосфатазы в крови), электролиты (натрий, калий, магний, хлор), уровень железа сыворотки крови, трансферрин, ферритин, уровень общего билирубина в крови, уровня глюкозы в крови, Исследование уровня креатинина в крови, Исследование уровня мочевины в крови с целью оценки воспаления, функции печени, почек, обмена железа, электролитного баланса.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Методом обследования, рекомендованным для наиболее точного подтверждения наличия кровотечения при болезни Крона,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видеоколоноскопия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УЗИ кишечника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коагулограмма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гидро-МРТ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видеоколоноскопия</w:t>
      </w:r>
    </w:p>
    <w:p>
      <w:pPr>
        <w:ind w:left="504"/>
      </w:pPr>
      <w:r>
        <w:rPr>
          <w:b w:val="0"/>
          <w:i/>
        </w:rPr>
        <w:t>С целью выявления дополнительных источников кровотечения, желательно проведение интраоперационной эзофагогастроинтестиноскопии и видеоколоноскопии.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Магнитно-резонансная томография органов малого таза проводится с целью визуализации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абцессов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инфильтратов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свищевых ходов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кишечной непроходимости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свищевых ходов</w:t>
      </w:r>
    </w:p>
    <w:p>
      <w:pPr>
        <w:ind w:left="504"/>
      </w:pPr>
      <w:r>
        <w:rPr>
          <w:b w:val="0"/>
          <w:i/>
        </w:rPr>
        <w:t>При перианальных поражениях пациентам с БК рекомендовано проведение трансректального и/или трансперинеального ультразвукового или магнитно- резонансного исследования прямой кишки (Ультразвуковое исследование прямой кишки трансректальное, Магнитно-резонансная томография толстой кишки, Магнитно-резонансная томография толстой кишки с контрастированием) и Магнитно-резонансная томография органов малого таза с целью визуализации свищевых ходов и уточнения степени воспаления и протяженности поражения прямой кишки и анального канала.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индукции ремиссии болезни Крона в данном клиническом случае в качестве терапии первой линии рекомендовано +_________________+ питание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полное энтеральное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диетическое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частичное энтеральное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щадящее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полное энтеральное</w:t>
      </w:r>
    </w:p>
    <w:p>
      <w:pPr>
        <w:ind w:left="504"/>
      </w:pPr>
      <w:r>
        <w:rPr>
          <w:b w:val="0"/>
          <w:i/>
        </w:rPr>
        <w:t>Полное энтеральное питание (ПЭП) в течение 6-8 недель рекомендуется в качестве терапии первой линии для индукции ремиссии у детей с вновь установленным диагнозом БК (за исключением тяжелого панколита, оральной или изолированной перианальной БК) или обострением воспалительной формы БК.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данном клиническом случае при назначении терапии предпочтение следует отдавать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сульфасалазину кислоты в свечах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азатиоприну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преднизолону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будесониду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будесониду</w:t>
      </w:r>
    </w:p>
    <w:p>
      <w:pPr>
        <w:ind w:left="504"/>
      </w:pPr>
      <w:r>
        <w:rPr>
          <w:b w:val="0"/>
          <w:i/>
        </w:rPr>
        <w:t>У пациентов с легкой или среднетяжелой формой БК с локализацией патологического процесса в подвздошной кишке или восходящей ободочной кишке применение #будесонида предпочтительно.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качестве терапии первой линии, после адекватного хирургического дренирования сложной перианальной болезни Крона у ребенка, рекомендовано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инфликсимаба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сульфасалазина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глюкокортикостероидов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будесонида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инфликсимаба</w:t>
      </w:r>
    </w:p>
    <w:p>
      <w:pPr>
        <w:ind w:left="504"/>
      </w:pPr>
      <w:r>
        <w:rPr>
          <w:b w:val="0"/>
          <w:i/>
        </w:rPr>
        <w:t>При наличии у ребенка сложной перианальной БК, после адекватного хирургического дренирования, рекомендовано использование инфликсимаба или адалимумаба в качестве терапии первой линии.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На фоне иммуносупрессивной терапии пациенту с болезнью Крона противопоказаны +_____________+ вакцины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живые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инактивированные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химические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ассоциированные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живые</w:t>
      </w:r>
    </w:p>
    <w:p>
      <w:pPr>
        <w:ind w:left="504"/>
      </w:pPr>
      <w:r>
        <w:rPr>
          <w:b w:val="0"/>
          <w:i/>
        </w:rPr>
        <w:t>Пациентам на фоне иммуносупрессивной терапии противопоказаны живые аттенуированные вакцины.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Периодичность диспансерного наблюдения ребенка с болезнью Крона осуществляет врач гастроэнтеролог в среднем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каждые 3 месяца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каждый 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каждые 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каждый 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каждые 3 месяца</w:t>
      </w:r>
    </w:p>
    <w:p>
      <w:pPr>
        <w:ind w:left="504"/>
      </w:pPr>
      <w:r>
        <w:rPr>
          <w:b w:val="0"/>
          <w:i/>
        </w:rPr>
        <w:t>Периодичность и объем диспансерного наблюдения определяется индивидуально, но у большинства пациентов целесообразно в среднем, каждые 3 месяца - осмотр врачом-гастроэнтерологом (или врачом-педиатром с соответствующей специализацией) с полным объективным исследованием, включая перианальную область, оценка физического и полового развития, общий (клинический) анализ крови развернутый, исследование уровня СРБ, определение уровня фекального кальпротектина.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Вакцинацию живыми вакцинами рекомендуется проводить не позднее, чем за +_____+ недель/недели до начала приема иммуносупрессивной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Вакцинацию живыми вакцинами следует проводить не позднее, чем за 6 недель до начала приема иммуносупрессивной терапии.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Росси. Болезнь Кронa, 2021 г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682/" TargetMode="External"/><Relationship Id="rId10" Type="http://schemas.openxmlformats.org/officeDocument/2006/relationships/hyperlink" Target="https://library.mededtech.ru/rest/documents/KP682/#list_item_i2u8al" TargetMode="External"/><Relationship Id="rId11" Type="http://schemas.openxmlformats.org/officeDocument/2006/relationships/hyperlink" Target="https://library.mededtech.ru/rest/documents/KP682/#paragraph_2a08g8" TargetMode="External"/><Relationship Id="rId12" Type="http://schemas.openxmlformats.org/officeDocument/2006/relationships/hyperlink" Target="https://library.mededtech.ru/rest/documents/KP682/#list_item_u6r8bi" TargetMode="External"/><Relationship Id="rId13" Type="http://schemas.openxmlformats.org/officeDocument/2006/relationships/hyperlink" Target="https://library.mededtech.ru/rest/documents/KP682/#paragraph_8lp5au" TargetMode="External"/><Relationship Id="rId14" Type="http://schemas.openxmlformats.org/officeDocument/2006/relationships/hyperlink" Target="https://library.mededtech.ru/rest/documents/KP682/#list_item_medk0c" TargetMode="External"/><Relationship Id="rId15" Type="http://schemas.openxmlformats.org/officeDocument/2006/relationships/hyperlink" Target="https://library.mededtech.ru/rest/documents/KP682/#list_item_dubv3m" TargetMode="External"/><Relationship Id="rId16" Type="http://schemas.openxmlformats.org/officeDocument/2006/relationships/hyperlink" Target="https://library.mededtech.ru/rest/documents/KP682/#list_item_c0qk2k" TargetMode="External"/><Relationship Id="rId17" Type="http://schemas.openxmlformats.org/officeDocument/2006/relationships/image" Target="media/image1.jpg"/><Relationship Id="rId18" Type="http://schemas.openxmlformats.org/officeDocument/2006/relationships/image" Target="media/image2.png"/><Relationship Id="rId19" Type="http://schemas.openxmlformats.org/officeDocument/2006/relationships/image" Target="media/image3.jpg"/><Relationship Id="rId20" Type="http://schemas.openxmlformats.org/officeDocument/2006/relationships/hyperlink" Target="https://library.mededtech.ru/rest/documents/KP682/#paragraph_vb0q7m" TargetMode="External"/><Relationship Id="rId21" Type="http://schemas.openxmlformats.org/officeDocument/2006/relationships/hyperlink" Target="https://library.mededtech.ru/rest/documents/KP682/#tab1" TargetMode="External"/><Relationship Id="rId22" Type="http://schemas.openxmlformats.org/officeDocument/2006/relationships/hyperlink" Target="https://library.mededtech.ru/rest/documents/KP682/#paragraph_9fr4nr" TargetMode="External"/><Relationship Id="rId23" Type="http://schemas.openxmlformats.org/officeDocument/2006/relationships/hyperlink" Target="https://library.mededtech.ru/rest/documents/KP682/#paragraph_d21fbs" TargetMode="External"/><Relationship Id="rId24" Type="http://schemas.openxmlformats.org/officeDocument/2006/relationships/hyperlink" Target="https://library.mededtech.ru/rest/documents/KP682/#list_item_44k23e" TargetMode="External"/><Relationship Id="rId25" Type="http://schemas.openxmlformats.org/officeDocument/2006/relationships/hyperlink" Target="https://library.mededtech.ru/rest/documents/KP682/#list_item_0605nv" TargetMode="External"/><Relationship Id="rId26" Type="http://schemas.openxmlformats.org/officeDocument/2006/relationships/hyperlink" Target="https://library.mededtech.ru/rest/documents/KP682/#list_item_3eq5gu" TargetMode="External"/><Relationship Id="rId27" Type="http://schemas.openxmlformats.org/officeDocument/2006/relationships/hyperlink" Target="https://library.mededtech.ru/rest/documents/KP682/#paragraph_lmbtrl" TargetMode="External"/><Relationship Id="rId28" Type="http://schemas.openxmlformats.org/officeDocument/2006/relationships/hyperlink" Target="https://library.mededtech.ru/rest/documents/KP682/#paragraph_7mslui" TargetMode="External"/><Relationship Id="rId29" Type="http://schemas.openxmlformats.org/officeDocument/2006/relationships/hyperlink" Target="https://library.mededtech.ru/rest/documents/KP682/#list_item_59r90g" TargetMode="External"/><Relationship Id="rId30" Type="http://schemas.openxmlformats.org/officeDocument/2006/relationships/hyperlink" Target="https://library.mededtech.ru/rest/documents/KP682/#list_item_dv7fnk" TargetMode="External"/><Relationship Id="rId31" Type="http://schemas.openxmlformats.org/officeDocument/2006/relationships/hyperlink" Target="https://library.mededtech.ru/rest/documents/KP682/#paragraph_u520sc" TargetMode="External"/><Relationship Id="rId32" Type="http://schemas.openxmlformats.org/officeDocument/2006/relationships/hyperlink" Target="https://library.mededtech.ru/rest/documents/KP682/#list_item_vqvvg5" TargetMode="External"/><Relationship Id="rId33" Type="http://schemas.openxmlformats.org/officeDocument/2006/relationships/hyperlink" Target="https://library.mededtech.ru/rest/documents/KP682/#paragraph_188eu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